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34F3A6EC" w:rsidR="00D6147A" w:rsidRDefault="005A71BC" w:rsidP="005A71BC">
      <w:hyperlink r:id="rId6" w:history="1">
        <w:r w:rsidRPr="002237CB">
          <w:rPr>
            <w:rStyle w:val="Collegamentoipertestuale"/>
          </w:rPr>
          <w:t>https://finanza.lastampa.it/News/2025/02/14/eventi-e-scadenze-del-14-febbraio-2025/NV8yMDI1LTAyLTE0X1RMQg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4B1F"/>
    <w:rsid w:val="00215CF5"/>
    <w:rsid w:val="00217AB4"/>
    <w:rsid w:val="00221FBF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77A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B56F2"/>
    <w:rsid w:val="007C62DC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31F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57B"/>
    <w:rsid w:val="00F50F58"/>
    <w:rsid w:val="00F62354"/>
    <w:rsid w:val="00F62EE2"/>
    <w:rsid w:val="00F66DF8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lastampa.it/News/2025/02/14/eventi-e-scadenze-del-14-febbraio-2025/NV8yMDI1LTAyLTE0X1RMQ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2025-02-18T15:42:00Z</dcterms:created>
  <dcterms:modified xsi:type="dcterms:W3CDTF">2025-02-18T15:44:00Z</dcterms:modified>
</cp:coreProperties>
</file>